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007A6C99">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6" tooltip="&quot;Home&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3B47ECDA" w:rsidR="009477EC" w:rsidRDefault="00A43EC5">
            <w:r>
              <w:t>Springvale Elementary</w:t>
            </w:r>
          </w:p>
          <w:p w14:paraId="63F02B39" w14:textId="1C7A0B15" w:rsidR="009477EC" w:rsidRPr="00A43EC5" w:rsidRDefault="009477EC">
            <w:pPr>
              <w:rPr>
                <w:sz w:val="24"/>
                <w:szCs w:val="24"/>
              </w:rPr>
            </w:pPr>
          </w:p>
        </w:tc>
      </w:tr>
    </w:tbl>
    <w:p w14:paraId="4100F2ED" w14:textId="77777777" w:rsidR="009477EC" w:rsidRDefault="009477EC"/>
    <w:tbl>
      <w:tblPr>
        <w:tblStyle w:val="TableGrid"/>
        <w:tblW w:w="0" w:type="auto"/>
        <w:tblLook w:val="04A0" w:firstRow="1" w:lastRow="0" w:firstColumn="1" w:lastColumn="0" w:noHBand="0" w:noVBand="1"/>
      </w:tblPr>
      <w:tblGrid>
        <w:gridCol w:w="2689"/>
        <w:gridCol w:w="1984"/>
        <w:gridCol w:w="2693"/>
        <w:gridCol w:w="1984"/>
      </w:tblGrid>
      <w:tr w:rsidR="003828E0" w:rsidRPr="003828E0" w14:paraId="7420D20C" w14:textId="77777777" w:rsidTr="003828E0">
        <w:tc>
          <w:tcPr>
            <w:tcW w:w="9350" w:type="dxa"/>
            <w:gridSpan w:val="4"/>
            <w:shd w:val="clear" w:color="auto" w:fill="DEEAF6" w:themeFill="accent1" w:themeFillTint="33"/>
          </w:tcPr>
          <w:p w14:paraId="5C7448FC" w14:textId="793775C9" w:rsidR="003828E0" w:rsidRPr="003828E0" w:rsidRDefault="00287EE2" w:rsidP="003828E0">
            <w:pPr>
              <w:jc w:val="both"/>
              <w:rPr>
                <w:sz w:val="24"/>
                <w:szCs w:val="24"/>
              </w:rPr>
            </w:pPr>
            <w:r>
              <w:rPr>
                <w:sz w:val="24"/>
                <w:szCs w:val="24"/>
              </w:rPr>
              <w:t>SAC Chair:</w:t>
            </w:r>
            <w:r w:rsidR="00A43EC5">
              <w:rPr>
                <w:sz w:val="24"/>
                <w:szCs w:val="24"/>
              </w:rPr>
              <w:t xml:space="preserve"> Kassandra Kn</w:t>
            </w:r>
            <w:r w:rsidR="00CC533A">
              <w:rPr>
                <w:sz w:val="24"/>
                <w:szCs w:val="24"/>
              </w:rPr>
              <w:t>i</w:t>
            </w:r>
            <w:r w:rsidR="00A43EC5">
              <w:rPr>
                <w:sz w:val="24"/>
                <w:szCs w:val="24"/>
              </w:rPr>
              <w:t>ght</w:t>
            </w:r>
          </w:p>
        </w:tc>
      </w:tr>
      <w:tr w:rsidR="00287EE2" w:rsidRPr="003828E0" w14:paraId="0BBFE10D" w14:textId="77777777" w:rsidTr="00A50EA0">
        <w:tc>
          <w:tcPr>
            <w:tcW w:w="2689" w:type="dxa"/>
          </w:tcPr>
          <w:p w14:paraId="0A853DAB" w14:textId="2E4F8124" w:rsidR="00287EE2" w:rsidRDefault="00287EE2" w:rsidP="00287EE2">
            <w:pPr>
              <w:rPr>
                <w:sz w:val="24"/>
                <w:szCs w:val="24"/>
              </w:rPr>
            </w:pPr>
            <w:r>
              <w:rPr>
                <w:sz w:val="24"/>
                <w:szCs w:val="24"/>
              </w:rPr>
              <w:t>SAC Parent members:</w:t>
            </w:r>
          </w:p>
          <w:p w14:paraId="413E06ED" w14:textId="77777777" w:rsidR="00480130" w:rsidRDefault="00480130" w:rsidP="00287EE2">
            <w:pPr>
              <w:rPr>
                <w:sz w:val="24"/>
                <w:szCs w:val="24"/>
              </w:rPr>
            </w:pPr>
          </w:p>
          <w:p w14:paraId="4F3DE644" w14:textId="039C8712" w:rsidR="00287EE2" w:rsidRDefault="00CC533A" w:rsidP="00287EE2">
            <w:pPr>
              <w:rPr>
                <w:sz w:val="24"/>
                <w:szCs w:val="24"/>
              </w:rPr>
            </w:pPr>
            <w:r>
              <w:rPr>
                <w:sz w:val="24"/>
                <w:szCs w:val="24"/>
              </w:rPr>
              <w:t>Katie Kirkpatrick</w:t>
            </w:r>
          </w:p>
          <w:p w14:paraId="7AB97B03" w14:textId="48F49C06" w:rsidR="00CC533A" w:rsidRDefault="00CC533A" w:rsidP="00287EE2">
            <w:pPr>
              <w:rPr>
                <w:sz w:val="24"/>
                <w:szCs w:val="24"/>
              </w:rPr>
            </w:pPr>
            <w:r>
              <w:rPr>
                <w:sz w:val="24"/>
                <w:szCs w:val="24"/>
              </w:rPr>
              <w:t>Ariane Savi</w:t>
            </w:r>
          </w:p>
          <w:p w14:paraId="0BA8B66F" w14:textId="07221453" w:rsidR="00287EE2" w:rsidRDefault="00CC533A" w:rsidP="00287EE2">
            <w:pPr>
              <w:rPr>
                <w:sz w:val="24"/>
                <w:szCs w:val="24"/>
              </w:rPr>
            </w:pPr>
            <w:r>
              <w:rPr>
                <w:sz w:val="24"/>
                <w:szCs w:val="24"/>
              </w:rPr>
              <w:t>Barbara Bryson-Wheele</w:t>
            </w:r>
            <w:r w:rsidR="003D6779">
              <w:rPr>
                <w:sz w:val="24"/>
                <w:szCs w:val="24"/>
              </w:rPr>
              <w:t>r</w:t>
            </w:r>
          </w:p>
        </w:tc>
        <w:tc>
          <w:tcPr>
            <w:tcW w:w="1984" w:type="dxa"/>
          </w:tcPr>
          <w:p w14:paraId="5A0B7907" w14:textId="77777777" w:rsidR="00287EE2" w:rsidRDefault="00287EE2" w:rsidP="00287EE2">
            <w:pPr>
              <w:rPr>
                <w:sz w:val="24"/>
                <w:szCs w:val="24"/>
              </w:rPr>
            </w:pPr>
            <w:r>
              <w:rPr>
                <w:sz w:val="24"/>
                <w:szCs w:val="24"/>
              </w:rPr>
              <w:t>SAC Community Members:</w:t>
            </w:r>
          </w:p>
          <w:p w14:paraId="718091D3" w14:textId="77777777" w:rsidR="00370C3B" w:rsidRDefault="00370C3B" w:rsidP="00287EE2">
            <w:pPr>
              <w:rPr>
                <w:sz w:val="24"/>
                <w:szCs w:val="24"/>
              </w:rPr>
            </w:pPr>
          </w:p>
          <w:p w14:paraId="75F520FC" w14:textId="77777777" w:rsidR="00370C3B" w:rsidRDefault="00370C3B" w:rsidP="00287EE2">
            <w:pPr>
              <w:rPr>
                <w:sz w:val="24"/>
                <w:szCs w:val="24"/>
              </w:rPr>
            </w:pPr>
            <w:r>
              <w:rPr>
                <w:sz w:val="24"/>
                <w:szCs w:val="24"/>
              </w:rPr>
              <w:t>Mona A</w:t>
            </w:r>
            <w:r w:rsidR="006A5A86">
              <w:rPr>
                <w:sz w:val="24"/>
                <w:szCs w:val="24"/>
              </w:rPr>
              <w:t>t</w:t>
            </w:r>
            <w:r>
              <w:rPr>
                <w:sz w:val="24"/>
                <w:szCs w:val="24"/>
              </w:rPr>
              <w:t>kins</w:t>
            </w:r>
          </w:p>
          <w:p w14:paraId="01FAC01C" w14:textId="0FEFA862" w:rsidR="006A5A86" w:rsidRDefault="006A5A86" w:rsidP="00287EE2">
            <w:pPr>
              <w:rPr>
                <w:sz w:val="24"/>
                <w:szCs w:val="24"/>
              </w:rPr>
            </w:pPr>
            <w:r>
              <w:rPr>
                <w:sz w:val="24"/>
                <w:szCs w:val="24"/>
              </w:rPr>
              <w:t>Sheila Doucet</w:t>
            </w:r>
          </w:p>
        </w:tc>
        <w:tc>
          <w:tcPr>
            <w:tcW w:w="2693" w:type="dxa"/>
          </w:tcPr>
          <w:p w14:paraId="5220AAD2" w14:textId="74F81F69" w:rsidR="00287EE2" w:rsidRDefault="00287EE2" w:rsidP="00287EE2">
            <w:pPr>
              <w:rPr>
                <w:sz w:val="24"/>
                <w:szCs w:val="24"/>
              </w:rPr>
            </w:pPr>
            <w:r>
              <w:rPr>
                <w:sz w:val="24"/>
                <w:szCs w:val="24"/>
              </w:rPr>
              <w:t>SAC Staff Members:</w:t>
            </w:r>
          </w:p>
          <w:p w14:paraId="7E6ABD0D" w14:textId="77777777" w:rsidR="006A5A86" w:rsidRDefault="006A5A86" w:rsidP="00287EE2">
            <w:pPr>
              <w:rPr>
                <w:sz w:val="24"/>
                <w:szCs w:val="24"/>
              </w:rPr>
            </w:pPr>
          </w:p>
          <w:p w14:paraId="59480B2B" w14:textId="77777777" w:rsidR="006A5A86" w:rsidRDefault="00E66716" w:rsidP="00287EE2">
            <w:pPr>
              <w:rPr>
                <w:sz w:val="24"/>
                <w:szCs w:val="24"/>
              </w:rPr>
            </w:pPr>
            <w:r>
              <w:rPr>
                <w:sz w:val="24"/>
                <w:szCs w:val="24"/>
              </w:rPr>
              <w:t>Tracy McFeters</w:t>
            </w:r>
          </w:p>
          <w:p w14:paraId="7BFB842F" w14:textId="77777777" w:rsidR="00E66716" w:rsidRDefault="00E66716" w:rsidP="00287EE2">
            <w:pPr>
              <w:rPr>
                <w:sz w:val="24"/>
                <w:szCs w:val="24"/>
              </w:rPr>
            </w:pPr>
            <w:r>
              <w:rPr>
                <w:sz w:val="24"/>
                <w:szCs w:val="24"/>
              </w:rPr>
              <w:t>Jill Zhang</w:t>
            </w:r>
          </w:p>
          <w:p w14:paraId="0CC879F1" w14:textId="352B7DC1" w:rsidR="00E66716" w:rsidRDefault="00E66716" w:rsidP="00287EE2">
            <w:pPr>
              <w:rPr>
                <w:sz w:val="24"/>
                <w:szCs w:val="24"/>
              </w:rPr>
            </w:pPr>
            <w:r>
              <w:rPr>
                <w:sz w:val="24"/>
                <w:szCs w:val="24"/>
              </w:rPr>
              <w:t>Brandy Nagy</w:t>
            </w:r>
          </w:p>
        </w:tc>
        <w:tc>
          <w:tcPr>
            <w:tcW w:w="1984" w:type="dxa"/>
          </w:tcPr>
          <w:p w14:paraId="371D2C70" w14:textId="77777777" w:rsidR="006A5A86" w:rsidRPr="00A50EA0" w:rsidRDefault="00287EE2" w:rsidP="00287EE2">
            <w:pPr>
              <w:rPr>
                <w:sz w:val="24"/>
                <w:szCs w:val="24"/>
              </w:rPr>
            </w:pPr>
            <w:r w:rsidRPr="00A50EA0">
              <w:rPr>
                <w:sz w:val="24"/>
                <w:szCs w:val="24"/>
              </w:rPr>
              <w:t>SAC Students Members:</w:t>
            </w:r>
          </w:p>
          <w:p w14:paraId="7FE400BC" w14:textId="77777777" w:rsidR="006A5A86" w:rsidRDefault="006A5A86" w:rsidP="00287EE2">
            <w:pPr>
              <w:rPr>
                <w:sz w:val="24"/>
                <w:szCs w:val="24"/>
              </w:rPr>
            </w:pPr>
          </w:p>
          <w:p w14:paraId="12D4E0C7" w14:textId="4E3A45F7" w:rsidR="006A5A86" w:rsidRPr="003828E0" w:rsidRDefault="006A5A86" w:rsidP="00287EE2">
            <w:pPr>
              <w:rPr>
                <w:sz w:val="24"/>
                <w:szCs w:val="24"/>
              </w:rPr>
            </w:pPr>
            <w:r>
              <w:rPr>
                <w:sz w:val="24"/>
                <w:szCs w:val="24"/>
              </w:rPr>
              <w:t>n/a</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0A7BE148" w14:textId="7FECE989" w:rsidR="003828E0" w:rsidRDefault="00CB43FE" w:rsidP="003828E0">
            <w:pPr>
              <w:jc w:val="both"/>
              <w:rPr>
                <w:sz w:val="24"/>
                <w:szCs w:val="24"/>
              </w:rPr>
            </w:pPr>
            <w:r>
              <w:rPr>
                <w:sz w:val="24"/>
                <w:szCs w:val="24"/>
              </w:rPr>
              <w:t xml:space="preserve">The SAC has been committed to </w:t>
            </w:r>
            <w:r w:rsidR="009762CB">
              <w:rPr>
                <w:sz w:val="24"/>
                <w:szCs w:val="24"/>
              </w:rPr>
              <w:t>purchasing resources to support student success planning goals in literacy, mathematics &amp; well-being</w:t>
            </w:r>
            <w:r w:rsidR="00CF1FA3">
              <w:rPr>
                <w:sz w:val="24"/>
                <w:szCs w:val="24"/>
              </w:rPr>
              <w:t xml:space="preserve">. This year there was a larger focus on mentor texts and writing resources to support our writing goal. While the SAC is very supportive of our school-wide matrix and </w:t>
            </w:r>
            <w:r w:rsidR="00C237A7">
              <w:rPr>
                <w:sz w:val="24"/>
                <w:szCs w:val="24"/>
              </w:rPr>
              <w:t>visuals (</w:t>
            </w:r>
            <w:r w:rsidR="00E309AF">
              <w:rPr>
                <w:sz w:val="24"/>
                <w:szCs w:val="24"/>
              </w:rPr>
              <w:t>posters</w:t>
            </w:r>
            <w:r w:rsidR="00C237A7">
              <w:rPr>
                <w:sz w:val="24"/>
                <w:szCs w:val="24"/>
              </w:rPr>
              <w:t>)</w:t>
            </w:r>
            <w:r w:rsidR="00E309AF">
              <w:rPr>
                <w:sz w:val="24"/>
                <w:szCs w:val="24"/>
              </w:rPr>
              <w:t xml:space="preserve"> we decided to use money from</w:t>
            </w:r>
            <w:r w:rsidR="00702339">
              <w:rPr>
                <w:sz w:val="24"/>
                <w:szCs w:val="24"/>
              </w:rPr>
              <w:t xml:space="preserve"> the</w:t>
            </w:r>
            <w:r w:rsidR="00E309AF">
              <w:rPr>
                <w:sz w:val="24"/>
                <w:szCs w:val="24"/>
              </w:rPr>
              <w:t xml:space="preserve"> </w:t>
            </w:r>
            <w:r w:rsidR="00A316A1">
              <w:rPr>
                <w:sz w:val="24"/>
                <w:szCs w:val="24"/>
              </w:rPr>
              <w:t>Healthy Schools Community</w:t>
            </w:r>
            <w:r w:rsidR="00702339">
              <w:rPr>
                <w:sz w:val="24"/>
                <w:szCs w:val="24"/>
              </w:rPr>
              <w:t xml:space="preserve"> fund since this promotes whole school well-being and a</w:t>
            </w:r>
            <w:r w:rsidR="00C237A7">
              <w:rPr>
                <w:sz w:val="24"/>
                <w:szCs w:val="24"/>
              </w:rPr>
              <w:t>ccessibility for all</w:t>
            </w:r>
            <w:r w:rsidR="00F64FC0">
              <w:rPr>
                <w:sz w:val="24"/>
                <w:szCs w:val="24"/>
              </w:rPr>
              <w:t>.</w:t>
            </w:r>
            <w:r w:rsidR="00C40A50">
              <w:rPr>
                <w:sz w:val="24"/>
                <w:szCs w:val="24"/>
              </w:rPr>
              <w:t xml:space="preserve"> </w:t>
            </w:r>
          </w:p>
          <w:p w14:paraId="79FBB5A7" w14:textId="77777777" w:rsidR="003B63A3" w:rsidRPr="00467A9E" w:rsidRDefault="003B63A3" w:rsidP="003828E0">
            <w:pPr>
              <w:jc w:val="both"/>
              <w:rPr>
                <w:sz w:val="16"/>
                <w:szCs w:val="16"/>
              </w:rPr>
            </w:pPr>
          </w:p>
          <w:p w14:paraId="3FC34EC3" w14:textId="0FE816DC" w:rsidR="003B63A3" w:rsidRDefault="003B63A3" w:rsidP="003828E0">
            <w:pPr>
              <w:jc w:val="both"/>
              <w:rPr>
                <w:sz w:val="24"/>
                <w:szCs w:val="24"/>
              </w:rPr>
            </w:pPr>
            <w:r>
              <w:rPr>
                <w:sz w:val="24"/>
                <w:szCs w:val="24"/>
              </w:rPr>
              <w:t xml:space="preserve">The SAC had </w:t>
            </w:r>
            <w:r w:rsidR="008F3568">
              <w:rPr>
                <w:sz w:val="24"/>
                <w:szCs w:val="24"/>
              </w:rPr>
              <w:t>informative discussions regarding AI in schools, looking at policies and how the curriculum is tackling critical literacy</w:t>
            </w:r>
            <w:r w:rsidR="00692010">
              <w:rPr>
                <w:sz w:val="24"/>
                <w:szCs w:val="24"/>
              </w:rPr>
              <w:t xml:space="preserve">. It was great to hear the multiple perspectives </w:t>
            </w:r>
            <w:r w:rsidR="00851238">
              <w:rPr>
                <w:sz w:val="24"/>
                <w:szCs w:val="24"/>
              </w:rPr>
              <w:t>from parent concerns</w:t>
            </w:r>
            <w:r w:rsidR="000E0459">
              <w:rPr>
                <w:sz w:val="24"/>
                <w:szCs w:val="24"/>
              </w:rPr>
              <w:t>,</w:t>
            </w:r>
            <w:r w:rsidR="00B701FB">
              <w:rPr>
                <w:sz w:val="24"/>
                <w:szCs w:val="24"/>
              </w:rPr>
              <w:t xml:space="preserve"> </w:t>
            </w:r>
            <w:r w:rsidR="00DA20E2">
              <w:rPr>
                <w:sz w:val="24"/>
                <w:szCs w:val="24"/>
              </w:rPr>
              <w:t>practical uses</w:t>
            </w:r>
            <w:r w:rsidR="00B701FB">
              <w:rPr>
                <w:sz w:val="24"/>
                <w:szCs w:val="24"/>
              </w:rPr>
              <w:t xml:space="preserve"> in education, and finally</w:t>
            </w:r>
            <w:r w:rsidR="00F13E34">
              <w:rPr>
                <w:sz w:val="24"/>
                <w:szCs w:val="24"/>
              </w:rPr>
              <w:t xml:space="preserve"> to </w:t>
            </w:r>
            <w:r w:rsidR="00DA20E2">
              <w:rPr>
                <w:sz w:val="24"/>
                <w:szCs w:val="24"/>
              </w:rPr>
              <w:t xml:space="preserve">the real and potential </w:t>
            </w:r>
            <w:r w:rsidR="00F13E34">
              <w:rPr>
                <w:sz w:val="24"/>
                <w:szCs w:val="24"/>
              </w:rPr>
              <w:t>impact on schools</w:t>
            </w:r>
            <w:r w:rsidR="00B701FB">
              <w:rPr>
                <w:sz w:val="24"/>
                <w:szCs w:val="24"/>
              </w:rPr>
              <w:t>.</w:t>
            </w:r>
          </w:p>
          <w:p w14:paraId="0DFA9500" w14:textId="77777777" w:rsidR="00851238" w:rsidRPr="00467A9E" w:rsidRDefault="00851238" w:rsidP="003828E0">
            <w:pPr>
              <w:jc w:val="both"/>
              <w:rPr>
                <w:sz w:val="16"/>
                <w:szCs w:val="16"/>
              </w:rPr>
            </w:pPr>
          </w:p>
          <w:p w14:paraId="039D67EF" w14:textId="135022F9" w:rsidR="000E0459" w:rsidRDefault="000E0459" w:rsidP="003828E0">
            <w:pPr>
              <w:jc w:val="both"/>
              <w:rPr>
                <w:sz w:val="24"/>
                <w:szCs w:val="24"/>
              </w:rPr>
            </w:pPr>
            <w:r>
              <w:rPr>
                <w:sz w:val="24"/>
                <w:szCs w:val="24"/>
              </w:rPr>
              <w:t xml:space="preserve">We had discussions about school lunches, the ordering platform, menu options, food wastage, environmental </w:t>
            </w:r>
            <w:r w:rsidR="0071608A">
              <w:rPr>
                <w:sz w:val="24"/>
                <w:szCs w:val="24"/>
              </w:rPr>
              <w:t xml:space="preserve">concerns, </w:t>
            </w:r>
            <w:r w:rsidR="006E712F">
              <w:rPr>
                <w:sz w:val="24"/>
                <w:szCs w:val="24"/>
              </w:rPr>
              <w:t>vermin</w:t>
            </w:r>
            <w:r w:rsidR="00407D6F">
              <w:rPr>
                <w:sz w:val="24"/>
                <w:szCs w:val="24"/>
              </w:rPr>
              <w:t xml:space="preserve">, </w:t>
            </w:r>
            <w:r w:rsidR="0071608A">
              <w:rPr>
                <w:sz w:val="24"/>
                <w:szCs w:val="24"/>
              </w:rPr>
              <w:t>and accessibility.</w:t>
            </w:r>
            <w:r>
              <w:rPr>
                <w:sz w:val="24"/>
                <w:szCs w:val="24"/>
              </w:rPr>
              <w:t xml:space="preserve"> </w:t>
            </w:r>
          </w:p>
          <w:p w14:paraId="4D7E3EC1" w14:textId="77777777" w:rsidR="009477EC" w:rsidRPr="00467A9E" w:rsidRDefault="009477EC" w:rsidP="003828E0">
            <w:pPr>
              <w:jc w:val="both"/>
              <w:rPr>
                <w:sz w:val="16"/>
                <w:szCs w:val="16"/>
              </w:rPr>
            </w:pPr>
          </w:p>
          <w:p w14:paraId="7F3A4368" w14:textId="6D1C78D9" w:rsidR="009477EC" w:rsidRPr="003828E0" w:rsidRDefault="00407D6F" w:rsidP="003828E0">
            <w:pPr>
              <w:jc w:val="both"/>
              <w:rPr>
                <w:sz w:val="24"/>
                <w:szCs w:val="24"/>
              </w:rPr>
            </w:pPr>
            <w:r>
              <w:rPr>
                <w:sz w:val="24"/>
                <w:szCs w:val="24"/>
              </w:rPr>
              <w:t xml:space="preserve">Another topic for discussion and </w:t>
            </w:r>
            <w:r w:rsidR="0033734C">
              <w:rPr>
                <w:sz w:val="24"/>
                <w:szCs w:val="24"/>
              </w:rPr>
              <w:t xml:space="preserve">troubleshooting as a team this year was the continuous concern of the manhole leaking sewage on to the field. </w:t>
            </w:r>
            <w:r w:rsidR="00146FE2">
              <w:rPr>
                <w:sz w:val="24"/>
                <w:szCs w:val="24"/>
              </w:rPr>
              <w:t xml:space="preserve">We used our collective knowledge and power to ensure we </w:t>
            </w:r>
            <w:r w:rsidR="004B4381">
              <w:rPr>
                <w:sz w:val="24"/>
                <w:szCs w:val="24"/>
              </w:rPr>
              <w:t xml:space="preserve">found the source, who was responsible to get it fixed, and solve the problem. The SAC was informed of every step to ensure we </w:t>
            </w:r>
            <w:r w:rsidR="004A2109">
              <w:rPr>
                <w:sz w:val="24"/>
                <w:szCs w:val="24"/>
              </w:rPr>
              <w:t>had</w:t>
            </w:r>
            <w:r w:rsidR="00FF7EF7">
              <w:rPr>
                <w:sz w:val="24"/>
                <w:szCs w:val="24"/>
              </w:rPr>
              <w:t xml:space="preserve"> a safe </w:t>
            </w:r>
            <w:r w:rsidR="00B62E62">
              <w:rPr>
                <w:sz w:val="24"/>
                <w:szCs w:val="24"/>
              </w:rPr>
              <w:t>environment for the children to play in.</w:t>
            </w:r>
          </w:p>
        </w:tc>
      </w:tr>
    </w:tbl>
    <w:p w14:paraId="185E2BEB" w14:textId="77777777" w:rsidR="003828E0" w:rsidRPr="00467A9E" w:rsidRDefault="003828E0" w:rsidP="003828E0">
      <w:pPr>
        <w:jc w:val="both"/>
        <w:rPr>
          <w:sz w:val="16"/>
          <w:szCs w:val="16"/>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0B3EF73E" w14:textId="3B13C507" w:rsidR="003828E0" w:rsidRPr="003828E0" w:rsidRDefault="004626E1" w:rsidP="003828E0">
            <w:pPr>
              <w:jc w:val="both"/>
              <w:rPr>
                <w:sz w:val="24"/>
                <w:szCs w:val="24"/>
              </w:rPr>
            </w:pPr>
            <w:r>
              <w:rPr>
                <w:sz w:val="24"/>
                <w:szCs w:val="24"/>
              </w:rPr>
              <w:t xml:space="preserve">The SAC has taken a great interest in how to support the increase in EAL students at Springvale and often discusses ways we can make communication more accessible to all. They are willing to support resources required to ensure the students are supported appropriately. It has been </w:t>
            </w:r>
            <w:r>
              <w:rPr>
                <w:sz w:val="24"/>
                <w:szCs w:val="24"/>
              </w:rPr>
              <w:lastRenderedPageBreak/>
              <w:t>a school-wide focus to decrease barriers for newcomer families, and the PTA and SAC have played a large part in ensur</w:t>
            </w:r>
            <w:r w:rsidR="00C55D6F">
              <w:rPr>
                <w:sz w:val="24"/>
                <w:szCs w:val="24"/>
              </w:rPr>
              <w:t>ing</w:t>
            </w:r>
            <w:r>
              <w:rPr>
                <w:sz w:val="24"/>
                <w:szCs w:val="24"/>
              </w:rPr>
              <w:t xml:space="preserve"> equitable access for all and to make sure these students feel welcomed into our school community. We have made a commitment to not charging </w:t>
            </w:r>
            <w:r w:rsidR="00D21971">
              <w:rPr>
                <w:sz w:val="24"/>
                <w:szCs w:val="24"/>
              </w:rPr>
              <w:t xml:space="preserve">students </w:t>
            </w:r>
            <w:r>
              <w:rPr>
                <w:sz w:val="24"/>
                <w:szCs w:val="24"/>
              </w:rPr>
              <w:t>for any field trips</w:t>
            </w:r>
            <w:r w:rsidR="00D21971">
              <w:rPr>
                <w:sz w:val="24"/>
                <w:szCs w:val="24"/>
              </w:rPr>
              <w:t xml:space="preserve"> (using mostly grant money)</w:t>
            </w:r>
            <w:r>
              <w:rPr>
                <w:sz w:val="24"/>
                <w:szCs w:val="24"/>
              </w:rPr>
              <w:t xml:space="preserve"> and giving each student a free Springvale t-shirt</w:t>
            </w:r>
            <w:r w:rsidR="009727DA">
              <w:rPr>
                <w:sz w:val="24"/>
                <w:szCs w:val="24"/>
              </w:rPr>
              <w:t xml:space="preserve"> (PTA supported)</w:t>
            </w:r>
            <w:r>
              <w:rPr>
                <w:sz w:val="24"/>
                <w:szCs w:val="24"/>
              </w:rPr>
              <w:t xml:space="preserve"> upon entry to the school. This builds school spirit and helps students fit in from the beginning.</w:t>
            </w:r>
          </w:p>
        </w:tc>
      </w:tr>
    </w:tbl>
    <w:p w14:paraId="4D839DF3" w14:textId="77777777" w:rsidR="003828E0" w:rsidRPr="00467A9E" w:rsidRDefault="003828E0" w:rsidP="003828E0">
      <w:pPr>
        <w:jc w:val="both"/>
        <w:rPr>
          <w:sz w:val="16"/>
          <w:szCs w:val="16"/>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15622E24" w14:textId="39917A89" w:rsidR="003828E0" w:rsidRDefault="00036595">
            <w:r>
              <w:t>n/a</w:t>
            </w:r>
          </w:p>
        </w:tc>
      </w:tr>
    </w:tbl>
    <w:p w14:paraId="1752739A" w14:textId="77777777" w:rsidR="003828E0" w:rsidRPr="009477EC"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320D91E2" w14:textId="4E7296CB" w:rsidR="00B3528C" w:rsidRDefault="00B3528C" w:rsidP="009477EC">
            <w:pPr>
              <w:jc w:val="both"/>
              <w:rPr>
                <w:sz w:val="24"/>
                <w:szCs w:val="24"/>
              </w:rPr>
            </w:pPr>
            <w:r>
              <w:rPr>
                <w:sz w:val="24"/>
                <w:szCs w:val="24"/>
              </w:rPr>
              <w:t>We started the school year with a $0 balance from last year. One thing that was mentioned this year by teachers was a need for some specific math manipulatives to support our math goals. This may be an area for use of some of the remaining funds ($4221.15).</w:t>
            </w:r>
          </w:p>
          <w:p w14:paraId="6B0437D7" w14:textId="77777777" w:rsidR="00B3528C" w:rsidRDefault="00B3528C" w:rsidP="009477EC">
            <w:pPr>
              <w:jc w:val="both"/>
              <w:rPr>
                <w:sz w:val="24"/>
                <w:szCs w:val="24"/>
              </w:rPr>
            </w:pPr>
          </w:p>
          <w:p w14:paraId="1BFCF737" w14:textId="1BDF217A" w:rsidR="009477EC" w:rsidRDefault="0065772F" w:rsidP="009477EC">
            <w:pPr>
              <w:jc w:val="both"/>
              <w:rPr>
                <w:sz w:val="24"/>
                <w:szCs w:val="24"/>
              </w:rPr>
            </w:pPr>
            <w:r>
              <w:rPr>
                <w:sz w:val="24"/>
                <w:szCs w:val="24"/>
              </w:rPr>
              <w:t xml:space="preserve">Mentor texts to support writing goal </w:t>
            </w:r>
            <w:proofErr w:type="gramStart"/>
            <w:r>
              <w:rPr>
                <w:sz w:val="24"/>
                <w:szCs w:val="24"/>
              </w:rPr>
              <w:t xml:space="preserve">- </w:t>
            </w:r>
            <w:r w:rsidR="00D0283A">
              <w:rPr>
                <w:sz w:val="24"/>
                <w:szCs w:val="24"/>
              </w:rPr>
              <w:t xml:space="preserve"> </w:t>
            </w:r>
            <w:r w:rsidR="00557860">
              <w:rPr>
                <w:sz w:val="24"/>
                <w:szCs w:val="24"/>
              </w:rPr>
              <w:t>$</w:t>
            </w:r>
            <w:proofErr w:type="gramEnd"/>
            <w:r w:rsidR="00557860">
              <w:rPr>
                <w:sz w:val="24"/>
                <w:szCs w:val="24"/>
              </w:rPr>
              <w:t>710.21</w:t>
            </w:r>
          </w:p>
          <w:p w14:paraId="348C0F9E" w14:textId="693BA2BF" w:rsidR="00557860" w:rsidRPr="00051F82" w:rsidRDefault="00557860" w:rsidP="009477EC">
            <w:pPr>
              <w:jc w:val="both"/>
              <w:rPr>
                <w:sz w:val="24"/>
                <w:szCs w:val="24"/>
                <w:u w:val="single"/>
              </w:rPr>
            </w:pPr>
            <w:r>
              <w:rPr>
                <w:sz w:val="24"/>
                <w:szCs w:val="24"/>
              </w:rPr>
              <w:t xml:space="preserve">Think SRSD program for 3 classrooms - </w:t>
            </w:r>
            <w:r w:rsidRPr="00051F82">
              <w:rPr>
                <w:sz w:val="24"/>
                <w:szCs w:val="24"/>
                <w:u w:val="single"/>
              </w:rPr>
              <w:t>$417</w:t>
            </w:r>
            <w:r w:rsidR="00B35F97" w:rsidRPr="00051F82">
              <w:rPr>
                <w:sz w:val="24"/>
                <w:szCs w:val="24"/>
                <w:u w:val="single"/>
              </w:rPr>
              <w:t>.64</w:t>
            </w:r>
          </w:p>
          <w:p w14:paraId="52A4B898" w14:textId="25F1A76B" w:rsidR="009477EC" w:rsidRDefault="00051F82" w:rsidP="009477EC">
            <w:pPr>
              <w:jc w:val="both"/>
              <w:rPr>
                <w:sz w:val="24"/>
                <w:szCs w:val="24"/>
              </w:rPr>
            </w:pPr>
            <w:r>
              <w:rPr>
                <w:sz w:val="24"/>
                <w:szCs w:val="24"/>
              </w:rPr>
              <w:t xml:space="preserve">Total                                                           </w:t>
            </w:r>
            <w:r w:rsidR="00D70202">
              <w:rPr>
                <w:sz w:val="24"/>
                <w:szCs w:val="24"/>
              </w:rPr>
              <w:t>$</w:t>
            </w:r>
            <w:r w:rsidRPr="007534ED">
              <w:rPr>
                <w:sz w:val="24"/>
                <w:szCs w:val="24"/>
              </w:rPr>
              <w:t>1127.85</w:t>
            </w:r>
          </w:p>
        </w:tc>
      </w:tr>
    </w:tbl>
    <w:p w14:paraId="094C5807" w14:textId="77777777" w:rsidR="003828E0" w:rsidRPr="00A50EA0" w:rsidRDefault="003828E0" w:rsidP="009477EC">
      <w:pPr>
        <w:jc w:val="both"/>
        <w:rPr>
          <w:sz w:val="16"/>
          <w:szCs w:val="16"/>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41F188B2" w14:textId="7E21838C" w:rsidR="009477EC" w:rsidRDefault="00036C43" w:rsidP="009477EC">
            <w:pPr>
              <w:jc w:val="both"/>
              <w:rPr>
                <w:sz w:val="24"/>
                <w:szCs w:val="24"/>
              </w:rPr>
            </w:pPr>
            <w:r>
              <w:rPr>
                <w:sz w:val="24"/>
                <w:szCs w:val="24"/>
              </w:rPr>
              <w:t>n/a</w:t>
            </w:r>
          </w:p>
        </w:tc>
      </w:tr>
    </w:tbl>
    <w:p w14:paraId="63945D41" w14:textId="77777777" w:rsidR="003828E0" w:rsidRPr="00A50EA0" w:rsidRDefault="003828E0" w:rsidP="009477EC">
      <w:pPr>
        <w:jc w:val="both"/>
        <w:rPr>
          <w:sz w:val="16"/>
          <w:szCs w:val="16"/>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7E6E5F19" w14:textId="328EB755" w:rsidR="009477EC" w:rsidRDefault="00036C43">
            <w:pPr>
              <w:rPr>
                <w:sz w:val="24"/>
                <w:szCs w:val="24"/>
              </w:rPr>
            </w:pPr>
            <w:r>
              <w:rPr>
                <w:sz w:val="24"/>
                <w:szCs w:val="24"/>
              </w:rPr>
              <w:t>n/a</w:t>
            </w: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78A9" w14:textId="77777777" w:rsidR="00717475" w:rsidRDefault="00717475" w:rsidP="009477EC">
      <w:pPr>
        <w:spacing w:after="0" w:line="240" w:lineRule="auto"/>
      </w:pPr>
      <w:r>
        <w:separator/>
      </w:r>
    </w:p>
  </w:endnote>
  <w:endnote w:type="continuationSeparator" w:id="0">
    <w:p w14:paraId="3FC48B00" w14:textId="77777777" w:rsidR="00717475" w:rsidRDefault="00717475"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A440" w14:textId="77777777" w:rsidR="00717475" w:rsidRDefault="00717475" w:rsidP="009477EC">
      <w:pPr>
        <w:spacing w:after="0" w:line="240" w:lineRule="auto"/>
      </w:pPr>
      <w:r>
        <w:separator/>
      </w:r>
    </w:p>
  </w:footnote>
  <w:footnote w:type="continuationSeparator" w:id="0">
    <w:p w14:paraId="5A7D1F42" w14:textId="77777777" w:rsidR="00717475" w:rsidRDefault="00717475" w:rsidP="00947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125D2"/>
    <w:rsid w:val="00036595"/>
    <w:rsid w:val="00036C43"/>
    <w:rsid w:val="00051F82"/>
    <w:rsid w:val="00096F06"/>
    <w:rsid w:val="000E0459"/>
    <w:rsid w:val="00134611"/>
    <w:rsid w:val="00146FE2"/>
    <w:rsid w:val="001E698E"/>
    <w:rsid w:val="00224353"/>
    <w:rsid w:val="0024043B"/>
    <w:rsid w:val="00256304"/>
    <w:rsid w:val="00287EE2"/>
    <w:rsid w:val="0030505B"/>
    <w:rsid w:val="0033734C"/>
    <w:rsid w:val="00370C3B"/>
    <w:rsid w:val="003828E0"/>
    <w:rsid w:val="003A17A3"/>
    <w:rsid w:val="003B63A3"/>
    <w:rsid w:val="003C2EEF"/>
    <w:rsid w:val="003C4A40"/>
    <w:rsid w:val="003D6779"/>
    <w:rsid w:val="00407D6F"/>
    <w:rsid w:val="00436CF1"/>
    <w:rsid w:val="004626E1"/>
    <w:rsid w:val="00467A9E"/>
    <w:rsid w:val="00480130"/>
    <w:rsid w:val="004A2109"/>
    <w:rsid w:val="004A4730"/>
    <w:rsid w:val="004B4381"/>
    <w:rsid w:val="005462A2"/>
    <w:rsid w:val="00557860"/>
    <w:rsid w:val="005625D1"/>
    <w:rsid w:val="005750AE"/>
    <w:rsid w:val="0062379C"/>
    <w:rsid w:val="0065772F"/>
    <w:rsid w:val="00674223"/>
    <w:rsid w:val="00692010"/>
    <w:rsid w:val="006A5A86"/>
    <w:rsid w:val="006B5745"/>
    <w:rsid w:val="006E712F"/>
    <w:rsid w:val="00701F95"/>
    <w:rsid w:val="00702339"/>
    <w:rsid w:val="0071608A"/>
    <w:rsid w:val="00717475"/>
    <w:rsid w:val="0074314E"/>
    <w:rsid w:val="007534ED"/>
    <w:rsid w:val="008151D9"/>
    <w:rsid w:val="00851238"/>
    <w:rsid w:val="008F3568"/>
    <w:rsid w:val="00901557"/>
    <w:rsid w:val="00933F6B"/>
    <w:rsid w:val="009477EC"/>
    <w:rsid w:val="00955B85"/>
    <w:rsid w:val="00962F24"/>
    <w:rsid w:val="0097048C"/>
    <w:rsid w:val="009727DA"/>
    <w:rsid w:val="009762CB"/>
    <w:rsid w:val="009B7F25"/>
    <w:rsid w:val="00A316A1"/>
    <w:rsid w:val="00A43EC5"/>
    <w:rsid w:val="00A47558"/>
    <w:rsid w:val="00A50EA0"/>
    <w:rsid w:val="00A60B67"/>
    <w:rsid w:val="00AF5BB0"/>
    <w:rsid w:val="00B3528C"/>
    <w:rsid w:val="00B35F97"/>
    <w:rsid w:val="00B62E62"/>
    <w:rsid w:val="00B701FB"/>
    <w:rsid w:val="00B816C6"/>
    <w:rsid w:val="00BF76FC"/>
    <w:rsid w:val="00C02441"/>
    <w:rsid w:val="00C07A97"/>
    <w:rsid w:val="00C237A7"/>
    <w:rsid w:val="00C40A50"/>
    <w:rsid w:val="00C55D6F"/>
    <w:rsid w:val="00C751F3"/>
    <w:rsid w:val="00CB43FE"/>
    <w:rsid w:val="00CC0FA3"/>
    <w:rsid w:val="00CC533A"/>
    <w:rsid w:val="00CF1FA3"/>
    <w:rsid w:val="00D0283A"/>
    <w:rsid w:val="00D21971"/>
    <w:rsid w:val="00D70202"/>
    <w:rsid w:val="00D91716"/>
    <w:rsid w:val="00DA20E2"/>
    <w:rsid w:val="00DC2344"/>
    <w:rsid w:val="00DC32E6"/>
    <w:rsid w:val="00E22A3B"/>
    <w:rsid w:val="00E309AF"/>
    <w:rsid w:val="00E66716"/>
    <w:rsid w:val="00E67127"/>
    <w:rsid w:val="00EA10CB"/>
    <w:rsid w:val="00EC1584"/>
    <w:rsid w:val="00EE7477"/>
    <w:rsid w:val="00EF439F"/>
    <w:rsid w:val="00EF715E"/>
    <w:rsid w:val="00F05BD1"/>
    <w:rsid w:val="00F13E34"/>
    <w:rsid w:val="00F64FC0"/>
    <w:rsid w:val="00F93AF6"/>
    <w:rsid w:val="00FB7DD9"/>
    <w:rsid w:val="00FD58A4"/>
    <w:rsid w:val="00FF7E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rce.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Lamont, Michelle</cp:lastModifiedBy>
  <cp:revision>70</cp:revision>
  <cp:lastPrinted>2019-05-31T17:21:00Z</cp:lastPrinted>
  <dcterms:created xsi:type="dcterms:W3CDTF">2026-06-10T14:03:00Z</dcterms:created>
  <dcterms:modified xsi:type="dcterms:W3CDTF">2026-06-15T12:26:00Z</dcterms:modified>
</cp:coreProperties>
</file>